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446D1" w14:textId="77777777" w:rsidR="00773483" w:rsidRPr="00A63CCF" w:rsidRDefault="001E2995" w:rsidP="00773483">
      <w:pPr>
        <w:jc w:val="center"/>
        <w:rPr>
          <w:b/>
        </w:rPr>
      </w:pPr>
      <w:r>
        <w:rPr>
          <w:b/>
        </w:rPr>
        <w:t>DOCKET NO. 51933</w:t>
      </w:r>
    </w:p>
    <w:p w14:paraId="75CD8A54" w14:textId="77777777" w:rsidR="00773483" w:rsidRPr="00A63CCF" w:rsidRDefault="00773483" w:rsidP="00773483">
      <w:pPr>
        <w:jc w:val="center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5"/>
        <w:gridCol w:w="336"/>
        <w:gridCol w:w="4549"/>
      </w:tblGrid>
      <w:tr w:rsidR="000E7858" w14:paraId="058722B7" w14:textId="77777777" w:rsidTr="00773483">
        <w:tc>
          <w:tcPr>
            <w:tcW w:w="4475" w:type="dxa"/>
          </w:tcPr>
          <w:p w14:paraId="6940A084" w14:textId="77777777" w:rsidR="00773483" w:rsidRPr="00A63CCF" w:rsidRDefault="001E2995" w:rsidP="00DA2A44">
            <w:pPr>
              <w:jc w:val="left"/>
              <w:rPr>
                <w:b/>
              </w:rPr>
            </w:pPr>
            <w:r>
              <w:rPr>
                <w:b/>
              </w:rPr>
              <w:t>PETITION OF MONTGOMERY ESTATES, LLC TO AMEND CC WATER WORKS, INC.’S CERTIFICATE OF CONVENIENCE AND NECESSITY IN CHAMBERS COUNTY BY EXPEDITED RELEASE</w:t>
            </w:r>
          </w:p>
        </w:tc>
        <w:tc>
          <w:tcPr>
            <w:tcW w:w="336" w:type="dxa"/>
          </w:tcPr>
          <w:p w14:paraId="6F5AC649" w14:textId="77777777" w:rsidR="00773483" w:rsidRPr="00A63CCF" w:rsidRDefault="001E2995" w:rsidP="00DA2A44">
            <w:pPr>
              <w:jc w:val="center"/>
              <w:rPr>
                <w:rFonts w:cs="Times New Roman"/>
                <w:b/>
              </w:rPr>
            </w:pPr>
            <w:r w:rsidRPr="00A63CCF">
              <w:rPr>
                <w:rFonts w:cs="Times New Roman"/>
                <w:b/>
              </w:rPr>
              <w:t>§</w:t>
            </w:r>
          </w:p>
          <w:p w14:paraId="0875D2AA" w14:textId="77777777" w:rsidR="00773483" w:rsidRPr="00A63CCF" w:rsidRDefault="001E2995" w:rsidP="00DA2A44">
            <w:pPr>
              <w:jc w:val="center"/>
              <w:rPr>
                <w:rFonts w:cs="Times New Roman"/>
                <w:b/>
              </w:rPr>
            </w:pPr>
            <w:r w:rsidRPr="00A63CCF">
              <w:rPr>
                <w:rFonts w:cs="Times New Roman"/>
                <w:b/>
              </w:rPr>
              <w:t>§</w:t>
            </w:r>
          </w:p>
          <w:p w14:paraId="2B1F65DA" w14:textId="77777777" w:rsidR="00773483" w:rsidRPr="00A63CCF" w:rsidRDefault="001E2995" w:rsidP="00DA2A44">
            <w:pPr>
              <w:jc w:val="center"/>
              <w:rPr>
                <w:rFonts w:cs="Times New Roman"/>
                <w:b/>
              </w:rPr>
            </w:pPr>
            <w:r w:rsidRPr="00A63CCF">
              <w:rPr>
                <w:rFonts w:cs="Times New Roman"/>
                <w:b/>
              </w:rPr>
              <w:t>§</w:t>
            </w:r>
          </w:p>
          <w:p w14:paraId="6E932878" w14:textId="77777777" w:rsidR="00773483" w:rsidRPr="00A63CCF" w:rsidRDefault="001E2995" w:rsidP="00DA2A44">
            <w:pPr>
              <w:jc w:val="center"/>
              <w:rPr>
                <w:rFonts w:cs="Times New Roman"/>
                <w:b/>
              </w:rPr>
            </w:pPr>
            <w:r w:rsidRPr="00A63CCF">
              <w:rPr>
                <w:rFonts w:cs="Times New Roman"/>
                <w:b/>
              </w:rPr>
              <w:t>§</w:t>
            </w:r>
          </w:p>
          <w:p w14:paraId="1E84805A" w14:textId="77777777" w:rsidR="00773483" w:rsidRPr="00A63CCF" w:rsidRDefault="001E2995" w:rsidP="00DA2A44">
            <w:pPr>
              <w:jc w:val="center"/>
              <w:rPr>
                <w:rFonts w:cs="Times New Roman"/>
                <w:b/>
              </w:rPr>
            </w:pPr>
            <w:r w:rsidRPr="00A63CCF">
              <w:rPr>
                <w:rFonts w:cs="Times New Roman"/>
                <w:b/>
              </w:rPr>
              <w:t>§</w:t>
            </w:r>
          </w:p>
          <w:p w14:paraId="5C3CC0CE" w14:textId="77777777" w:rsidR="00773483" w:rsidRDefault="001E2995" w:rsidP="00DA2A44">
            <w:pPr>
              <w:jc w:val="center"/>
              <w:rPr>
                <w:rFonts w:cs="Times New Roman"/>
                <w:b/>
              </w:rPr>
            </w:pPr>
            <w:r w:rsidRPr="00A63CCF">
              <w:rPr>
                <w:rFonts w:cs="Times New Roman"/>
                <w:b/>
              </w:rPr>
              <w:t>§</w:t>
            </w:r>
          </w:p>
          <w:p w14:paraId="21BD7CF3" w14:textId="77777777" w:rsidR="00773483" w:rsidRPr="00763FBB" w:rsidRDefault="00773483" w:rsidP="00DA2A44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549" w:type="dxa"/>
          </w:tcPr>
          <w:p w14:paraId="7D6F2F25" w14:textId="77777777" w:rsidR="00773483" w:rsidRPr="00A63CCF" w:rsidRDefault="001E2995" w:rsidP="00DA2A44">
            <w:pPr>
              <w:jc w:val="center"/>
              <w:rPr>
                <w:b/>
              </w:rPr>
            </w:pPr>
            <w:r w:rsidRPr="00A63CCF">
              <w:rPr>
                <w:b/>
              </w:rPr>
              <w:t>PUBLIC UTILITY COMMISSION</w:t>
            </w:r>
          </w:p>
          <w:p w14:paraId="2D70997A" w14:textId="77777777" w:rsidR="00773483" w:rsidRPr="00A63CCF" w:rsidRDefault="00773483" w:rsidP="00DA2A44">
            <w:pPr>
              <w:jc w:val="center"/>
              <w:rPr>
                <w:b/>
              </w:rPr>
            </w:pPr>
          </w:p>
          <w:p w14:paraId="53BC9AB0" w14:textId="77777777" w:rsidR="00773483" w:rsidRPr="00A63CCF" w:rsidRDefault="001E2995" w:rsidP="00DA2A44">
            <w:pPr>
              <w:jc w:val="center"/>
              <w:rPr>
                <w:b/>
              </w:rPr>
            </w:pPr>
            <w:r w:rsidRPr="00A63CCF">
              <w:rPr>
                <w:b/>
              </w:rPr>
              <w:t>OF TEXAS</w:t>
            </w:r>
          </w:p>
        </w:tc>
      </w:tr>
    </w:tbl>
    <w:p w14:paraId="466D94B4" w14:textId="77777777" w:rsidR="00B07E3E" w:rsidRDefault="00B07E3E" w:rsidP="00ED614C">
      <w:pPr>
        <w:jc w:val="center"/>
        <w:rPr>
          <w:b/>
          <w:bCs/>
          <w:sz w:val="28"/>
          <w:szCs w:val="28"/>
        </w:rPr>
      </w:pPr>
    </w:p>
    <w:p w14:paraId="2C4B729D" w14:textId="2FE6DB08" w:rsidR="00ED614C" w:rsidRPr="00391722" w:rsidRDefault="001E2995" w:rsidP="00ED61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CC WATER WORKS, INC.’S</w:t>
      </w:r>
      <w:r w:rsidRPr="00391722">
        <w:rPr>
          <w:b/>
          <w:bCs/>
          <w:sz w:val="28"/>
          <w:szCs w:val="28"/>
        </w:rPr>
        <w:t xml:space="preserve"> </w:t>
      </w:r>
      <w:r w:rsidR="00ED614C">
        <w:rPr>
          <w:b/>
          <w:bCs/>
          <w:sz w:val="28"/>
          <w:szCs w:val="28"/>
        </w:rPr>
        <w:t>RESPONSE TO MONTGOMERY ESTATES, LLC’S MOTION TO COMPEL</w:t>
      </w:r>
    </w:p>
    <w:p w14:paraId="6578CA59" w14:textId="71878944" w:rsidR="00EA7F7F" w:rsidRPr="00391722" w:rsidRDefault="00EA7F7F" w:rsidP="00EA7F7F">
      <w:pPr>
        <w:jc w:val="center"/>
        <w:rPr>
          <w:b/>
          <w:bCs/>
          <w:sz w:val="28"/>
          <w:szCs w:val="28"/>
        </w:rPr>
      </w:pPr>
    </w:p>
    <w:p w14:paraId="692F159F" w14:textId="4F0BE553" w:rsidR="00E67D73" w:rsidRDefault="001E2995" w:rsidP="00EA7F7F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Montgomery Estates, LLC </w:t>
      </w:r>
      <w:r w:rsidR="00ED614C">
        <w:rPr>
          <w:sz w:val="28"/>
          <w:szCs w:val="28"/>
        </w:rPr>
        <w:t xml:space="preserve">(Montgomery Estates) relies on 16 TAC </w:t>
      </w:r>
      <w:r w:rsidR="00B07E3E">
        <w:rPr>
          <w:sz w:val="28"/>
          <w:szCs w:val="28"/>
        </w:rPr>
        <w:t>§ 22.144</w:t>
      </w:r>
      <w:r w:rsidR="00B07E3E">
        <w:rPr>
          <w:sz w:val="28"/>
          <w:szCs w:val="28"/>
        </w:rPr>
        <w:t xml:space="preserve"> </w:t>
      </w:r>
      <w:r w:rsidR="00ED614C">
        <w:rPr>
          <w:sz w:val="28"/>
          <w:szCs w:val="28"/>
        </w:rPr>
        <w:t>in support of its position that CC Water Works, Inc. should be compelled to res</w:t>
      </w:r>
      <w:r w:rsidR="00E67D73">
        <w:rPr>
          <w:sz w:val="28"/>
          <w:szCs w:val="28"/>
        </w:rPr>
        <w:t>p</w:t>
      </w:r>
      <w:r w:rsidR="00ED614C">
        <w:rPr>
          <w:sz w:val="28"/>
          <w:szCs w:val="28"/>
        </w:rPr>
        <w:t xml:space="preserve">ond to discovery.  Montgomery Estates argues that 16 TAC </w:t>
      </w:r>
      <w:r w:rsidR="00B07E3E">
        <w:rPr>
          <w:sz w:val="28"/>
          <w:szCs w:val="28"/>
        </w:rPr>
        <w:t>§ 22.144</w:t>
      </w:r>
      <w:r w:rsidR="00B07E3E">
        <w:rPr>
          <w:sz w:val="28"/>
          <w:szCs w:val="28"/>
        </w:rPr>
        <w:t xml:space="preserve"> </w:t>
      </w:r>
      <w:r w:rsidR="00ED614C">
        <w:rPr>
          <w:sz w:val="28"/>
          <w:szCs w:val="28"/>
        </w:rPr>
        <w:t xml:space="preserve">requires timely objections to discovery, a conference regarding </w:t>
      </w:r>
      <w:r w:rsidR="00E67D73">
        <w:rPr>
          <w:sz w:val="28"/>
          <w:szCs w:val="28"/>
        </w:rPr>
        <w:t xml:space="preserve">the </w:t>
      </w:r>
      <w:r w:rsidR="00ED614C">
        <w:rPr>
          <w:sz w:val="28"/>
          <w:szCs w:val="28"/>
        </w:rPr>
        <w:t>objections, and other prerequisites</w:t>
      </w:r>
      <w:r w:rsidR="00B07E3E">
        <w:rPr>
          <w:sz w:val="28"/>
          <w:szCs w:val="28"/>
        </w:rPr>
        <w:t xml:space="preserve"> </w:t>
      </w:r>
      <w:proofErr w:type="gramStart"/>
      <w:r w:rsidR="00B07E3E">
        <w:rPr>
          <w:sz w:val="28"/>
          <w:szCs w:val="28"/>
        </w:rPr>
        <w:t>in order for</w:t>
      </w:r>
      <w:proofErr w:type="gramEnd"/>
      <w:r w:rsidR="00B07E3E">
        <w:rPr>
          <w:sz w:val="28"/>
          <w:szCs w:val="28"/>
        </w:rPr>
        <w:t xml:space="preserve"> CC Water Works to maintain its position that discovery is not proper in this matter</w:t>
      </w:r>
      <w:r w:rsidR="00ED614C">
        <w:rPr>
          <w:sz w:val="28"/>
          <w:szCs w:val="28"/>
        </w:rPr>
        <w:t xml:space="preserve">.  Montgomery Estates’ </w:t>
      </w:r>
      <w:r w:rsidR="00B07E3E">
        <w:rPr>
          <w:sz w:val="28"/>
          <w:szCs w:val="28"/>
        </w:rPr>
        <w:t xml:space="preserve">argument </w:t>
      </w:r>
      <w:r w:rsidR="00ED614C">
        <w:rPr>
          <w:sz w:val="28"/>
          <w:szCs w:val="28"/>
        </w:rPr>
        <w:t xml:space="preserve">requires that 16 TAC </w:t>
      </w:r>
      <w:r w:rsidR="00B07E3E">
        <w:rPr>
          <w:sz w:val="28"/>
          <w:szCs w:val="28"/>
        </w:rPr>
        <w:t xml:space="preserve">§ </w:t>
      </w:r>
      <w:r w:rsidR="00ED614C">
        <w:rPr>
          <w:sz w:val="28"/>
          <w:szCs w:val="28"/>
        </w:rPr>
        <w:t>22.144 applies to this matter.</w:t>
      </w:r>
      <w:r w:rsidR="00CC4EBE">
        <w:rPr>
          <w:sz w:val="28"/>
          <w:szCs w:val="28"/>
        </w:rPr>
        <w:t xml:space="preserve">  It does not.</w:t>
      </w:r>
      <w:r w:rsidR="00ED614C">
        <w:rPr>
          <w:sz w:val="28"/>
          <w:szCs w:val="28"/>
        </w:rPr>
        <w:t xml:space="preserve">  </w:t>
      </w:r>
    </w:p>
    <w:p w14:paraId="2E2FB759" w14:textId="71F55746" w:rsidR="00CC4EBE" w:rsidRPr="00B07E3E" w:rsidRDefault="00E67D73" w:rsidP="00E67D73">
      <w:pPr>
        <w:spacing w:line="48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As stated in CC Water Works’ prior pleading, i</w:t>
      </w:r>
      <w:r>
        <w:rPr>
          <w:sz w:val="28"/>
          <w:szCs w:val="28"/>
        </w:rPr>
        <w:t xml:space="preserve">t is well established that petitions for expedited release under TWC § 13.254 and 16 TAC § 24.245(h) are not contested cases and that no opportunity for a hearing exists.  Accordingly, discovery requests are inapplicable in such cases.  (See, Petition of Sunbelt Estates, LLC to Amend the City of </w:t>
      </w:r>
      <w:proofErr w:type="spellStart"/>
      <w:r>
        <w:rPr>
          <w:sz w:val="28"/>
          <w:szCs w:val="28"/>
        </w:rPr>
        <w:t>Elmdorf’s</w:t>
      </w:r>
      <w:proofErr w:type="spellEnd"/>
      <w:r>
        <w:rPr>
          <w:sz w:val="28"/>
          <w:szCs w:val="28"/>
        </w:rPr>
        <w:t xml:space="preserve"> Water Certificate of Convenience and Necessity in Bexar County by Expedited Release, Docket No. 49564, Order (Sep. 27, 2019)</w:t>
      </w:r>
      <w:r w:rsidR="00CC4EBE">
        <w:rPr>
          <w:sz w:val="28"/>
          <w:szCs w:val="28"/>
        </w:rPr>
        <w:t xml:space="preserve"> (Conclusion of Law </w:t>
      </w:r>
      <w:r w:rsidR="00F60F60">
        <w:rPr>
          <w:sz w:val="28"/>
          <w:szCs w:val="28"/>
        </w:rPr>
        <w:t>No. 3: “</w:t>
      </w:r>
      <w:r w:rsidR="00F60F60" w:rsidRPr="00F60F60">
        <w:rPr>
          <w:b/>
          <w:bCs/>
          <w:sz w:val="28"/>
          <w:szCs w:val="28"/>
        </w:rPr>
        <w:t xml:space="preserve">No opportunity for hearing on a petition for expedited release is provided under TWC § 13.254(a-5) and (a-6) or 16 TAC § </w:t>
      </w:r>
      <w:r w:rsidR="00F60F60" w:rsidRPr="00F60F60">
        <w:rPr>
          <w:b/>
          <w:bCs/>
          <w:sz w:val="28"/>
          <w:szCs w:val="28"/>
        </w:rPr>
        <w:lastRenderedPageBreak/>
        <w:t>24.245(l)</w:t>
      </w:r>
      <w:r w:rsidR="00F60F60">
        <w:rPr>
          <w:sz w:val="28"/>
          <w:szCs w:val="28"/>
        </w:rPr>
        <w:t>”; Conclusion of Law No. 4: “</w:t>
      </w:r>
      <w:r w:rsidR="00F60F60" w:rsidRPr="00F60F60">
        <w:rPr>
          <w:b/>
          <w:bCs/>
          <w:sz w:val="28"/>
          <w:szCs w:val="28"/>
        </w:rPr>
        <w:t xml:space="preserve">Petitions for expedited release filed under TWC </w:t>
      </w:r>
      <w:r w:rsidR="00F60F60" w:rsidRPr="00F60F60">
        <w:rPr>
          <w:b/>
          <w:bCs/>
          <w:sz w:val="28"/>
          <w:szCs w:val="28"/>
        </w:rPr>
        <w:t>§ 13.254(a-5) and (a-6) or 16 TAC § 24.245(l)</w:t>
      </w:r>
      <w:r w:rsidR="00F60F60" w:rsidRPr="00F60F60">
        <w:rPr>
          <w:b/>
          <w:bCs/>
          <w:sz w:val="28"/>
          <w:szCs w:val="28"/>
        </w:rPr>
        <w:t xml:space="preserve"> are not contested case</w:t>
      </w:r>
      <w:r w:rsidR="00F60F60">
        <w:rPr>
          <w:sz w:val="28"/>
          <w:szCs w:val="28"/>
        </w:rPr>
        <w:t>s”)</w:t>
      </w:r>
      <w:r>
        <w:rPr>
          <w:sz w:val="28"/>
          <w:szCs w:val="28"/>
        </w:rPr>
        <w:t xml:space="preserve">; Order No. 7 Denying Motion to Strike and Dismiss and Denying Motion to Direct Responses to Discovery, </w:t>
      </w:r>
      <w:r w:rsidRPr="00B07E3E">
        <w:rPr>
          <w:sz w:val="28"/>
          <w:szCs w:val="28"/>
        </w:rPr>
        <w:t>Docket No. 49280 (Nov. 20, 2019)</w:t>
      </w:r>
      <w:r w:rsidR="00B07E3E" w:rsidRPr="00B07E3E">
        <w:rPr>
          <w:sz w:val="28"/>
          <w:szCs w:val="28"/>
        </w:rPr>
        <w:t xml:space="preserve"> (“</w:t>
      </w:r>
      <w:r w:rsidR="00B07E3E" w:rsidRPr="00B07E3E">
        <w:rPr>
          <w:sz w:val="28"/>
          <w:szCs w:val="28"/>
        </w:rPr>
        <w:t xml:space="preserve">With regard to HMW's motion to direct responses to discovery, the ALJ finds that, </w:t>
      </w:r>
      <w:r w:rsidR="00B07E3E" w:rsidRPr="00B07E3E">
        <w:rPr>
          <w:b/>
          <w:bCs/>
          <w:sz w:val="28"/>
          <w:szCs w:val="28"/>
        </w:rPr>
        <w:t>because petitions for expedited release under TWC § 13.254 and 16 TAC § 24.245(/) are not contested cases and no opportunity for a hearing exists, a motion to direct responses to discovery is inapplicable in the present case</w:t>
      </w:r>
      <w:r w:rsidR="00B07E3E" w:rsidRPr="00B07E3E">
        <w:rPr>
          <w:sz w:val="28"/>
          <w:szCs w:val="28"/>
        </w:rPr>
        <w:t>”)</w:t>
      </w:r>
      <w:r w:rsidRPr="00B07E3E">
        <w:rPr>
          <w:sz w:val="28"/>
          <w:szCs w:val="28"/>
        </w:rPr>
        <w:t>.</w:t>
      </w:r>
      <w:r w:rsidRPr="00B07E3E">
        <w:rPr>
          <w:sz w:val="28"/>
          <w:szCs w:val="28"/>
        </w:rPr>
        <w:t xml:space="preserve">  </w:t>
      </w:r>
    </w:p>
    <w:p w14:paraId="2C521F28" w14:textId="0BF0B6D9" w:rsidR="00CC4EBE" w:rsidRDefault="00E67D73" w:rsidP="00E67D73">
      <w:pPr>
        <w:spacing w:line="48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The provision Montgomery Estates recites, 16 TAC </w:t>
      </w:r>
      <w:r w:rsidR="008C0EE7">
        <w:rPr>
          <w:sz w:val="28"/>
          <w:szCs w:val="28"/>
        </w:rPr>
        <w:t xml:space="preserve">§ </w:t>
      </w:r>
      <w:r>
        <w:rPr>
          <w:sz w:val="28"/>
          <w:szCs w:val="28"/>
        </w:rPr>
        <w:t>22.144, applies only to contested case hearing</w:t>
      </w:r>
      <w:r w:rsidR="008C0EE7">
        <w:rPr>
          <w:sz w:val="28"/>
          <w:szCs w:val="28"/>
        </w:rPr>
        <w:t>s</w:t>
      </w:r>
      <w:r>
        <w:rPr>
          <w:sz w:val="28"/>
          <w:szCs w:val="28"/>
        </w:rPr>
        <w:t>.  In the absence of a contested case hearing, that provision has no applicability.</w:t>
      </w:r>
      <w:r w:rsidR="00CC4EBE">
        <w:rPr>
          <w:sz w:val="28"/>
          <w:szCs w:val="28"/>
        </w:rPr>
        <w:t xml:space="preserve">  </w:t>
      </w:r>
      <w:r w:rsidR="00B07E3E">
        <w:rPr>
          <w:sz w:val="28"/>
          <w:szCs w:val="28"/>
        </w:rPr>
        <w:t>PUC precedent confirms petitions for expedited release are not contested case hearing</w:t>
      </w:r>
      <w:r w:rsidR="008C0EE7">
        <w:rPr>
          <w:sz w:val="28"/>
          <w:szCs w:val="28"/>
        </w:rPr>
        <w:t>s</w:t>
      </w:r>
      <w:r w:rsidR="00B07E3E">
        <w:rPr>
          <w:sz w:val="28"/>
          <w:szCs w:val="28"/>
        </w:rPr>
        <w:t>.  PUC precedent further confirms that discovery is not applicable in petitions for expedited release.</w:t>
      </w:r>
    </w:p>
    <w:p w14:paraId="75434169" w14:textId="30315CF2" w:rsidR="008C0EE7" w:rsidRDefault="00B07E3E" w:rsidP="008C0EE7">
      <w:pPr>
        <w:spacing w:line="48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Accordingly, CC Water Works respectfully requests that Montgomery Estates’ motion be denied in all respects.</w:t>
      </w:r>
    </w:p>
    <w:p w14:paraId="70C776DE" w14:textId="2F282360" w:rsidR="008C0EE7" w:rsidRDefault="008C0EE7" w:rsidP="008C0EE7">
      <w:pPr>
        <w:spacing w:line="480" w:lineRule="auto"/>
        <w:ind w:firstLine="720"/>
        <w:rPr>
          <w:sz w:val="28"/>
          <w:szCs w:val="28"/>
        </w:rPr>
      </w:pPr>
    </w:p>
    <w:p w14:paraId="31E1F61D" w14:textId="44AB8104" w:rsidR="008C0EE7" w:rsidRDefault="008C0EE7" w:rsidP="008C0EE7">
      <w:pPr>
        <w:spacing w:line="480" w:lineRule="auto"/>
        <w:ind w:firstLine="720"/>
        <w:rPr>
          <w:sz w:val="28"/>
          <w:szCs w:val="28"/>
        </w:rPr>
      </w:pPr>
    </w:p>
    <w:p w14:paraId="02813F10" w14:textId="335CFCAA" w:rsidR="008C0EE7" w:rsidRDefault="008C0EE7" w:rsidP="008C0EE7">
      <w:pPr>
        <w:spacing w:line="480" w:lineRule="auto"/>
        <w:ind w:firstLine="720"/>
        <w:rPr>
          <w:sz w:val="28"/>
          <w:szCs w:val="28"/>
        </w:rPr>
      </w:pPr>
    </w:p>
    <w:p w14:paraId="1155D3EA" w14:textId="24AF6D6F" w:rsidR="008C0EE7" w:rsidRDefault="008C0EE7" w:rsidP="008C0EE7">
      <w:pPr>
        <w:spacing w:line="480" w:lineRule="auto"/>
        <w:ind w:firstLine="720"/>
        <w:rPr>
          <w:sz w:val="28"/>
          <w:szCs w:val="28"/>
        </w:rPr>
      </w:pPr>
    </w:p>
    <w:p w14:paraId="7906025A" w14:textId="76953E63" w:rsidR="008C0EE7" w:rsidRDefault="008C0EE7" w:rsidP="008C0EE7">
      <w:pPr>
        <w:spacing w:line="480" w:lineRule="auto"/>
        <w:ind w:firstLine="720"/>
        <w:rPr>
          <w:sz w:val="28"/>
          <w:szCs w:val="28"/>
        </w:rPr>
      </w:pPr>
    </w:p>
    <w:p w14:paraId="56875A5E" w14:textId="77777777" w:rsidR="008C0EE7" w:rsidRDefault="008C0EE7" w:rsidP="008C0EE7">
      <w:pPr>
        <w:spacing w:line="480" w:lineRule="auto"/>
        <w:ind w:firstLine="720"/>
        <w:rPr>
          <w:sz w:val="28"/>
          <w:szCs w:val="28"/>
        </w:rPr>
      </w:pPr>
    </w:p>
    <w:p w14:paraId="4CA07209" w14:textId="0F66C93F" w:rsidR="00773483" w:rsidRPr="008C0EE7" w:rsidRDefault="001E2995" w:rsidP="008C0EE7">
      <w:pPr>
        <w:spacing w:line="480" w:lineRule="auto"/>
        <w:ind w:firstLine="72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Cs w:val="24"/>
        </w:rPr>
        <w:lastRenderedPageBreak/>
        <w:tab/>
      </w:r>
      <w:r w:rsidR="00F24C34">
        <w:rPr>
          <w:rFonts w:eastAsia="Calibri" w:cs="Times New Roman"/>
          <w:szCs w:val="24"/>
        </w:rPr>
        <w:tab/>
      </w:r>
      <w:r w:rsidR="00F24C34">
        <w:rPr>
          <w:rFonts w:eastAsia="Calibri" w:cs="Times New Roman"/>
          <w:szCs w:val="24"/>
        </w:rPr>
        <w:tab/>
      </w:r>
      <w:r w:rsidR="00F24C34"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 w:rsidRPr="008C0EE7">
        <w:rPr>
          <w:rFonts w:eastAsia="Calibri" w:cs="Times New Roman"/>
          <w:sz w:val="28"/>
          <w:szCs w:val="28"/>
        </w:rPr>
        <w:t>Respectfully submitted,</w:t>
      </w:r>
    </w:p>
    <w:p w14:paraId="4243970A" w14:textId="7C4C42AE" w:rsidR="00773483" w:rsidRPr="008C0EE7" w:rsidRDefault="001E2995" w:rsidP="00773483">
      <w:pPr>
        <w:rPr>
          <w:rFonts w:eastAsia="Calibri" w:cs="Times New Roman"/>
          <w:b/>
          <w:smallCaps/>
          <w:sz w:val="28"/>
          <w:szCs w:val="28"/>
        </w:rPr>
      </w:pPr>
      <w:r w:rsidRPr="008C0EE7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2C6F9FF" wp14:editId="5671B2A8">
            <wp:simplePos x="0" y="0"/>
            <wp:positionH relativeFrom="column">
              <wp:posOffset>2628900</wp:posOffset>
            </wp:positionH>
            <wp:positionV relativeFrom="paragraph">
              <wp:posOffset>14605</wp:posOffset>
            </wp:positionV>
            <wp:extent cx="1752600" cy="101917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="0037538D" w:rsidRPr="008C0EE7">
        <w:rPr>
          <w:rFonts w:eastAsia="Calibri" w:cs="Times New Roman"/>
          <w:b/>
          <w:sz w:val="28"/>
          <w:szCs w:val="28"/>
        </w:rPr>
        <w:t>Gregg Law PC</w:t>
      </w:r>
    </w:p>
    <w:p w14:paraId="36063752" w14:textId="77777777" w:rsidR="00773483" w:rsidRPr="008C0EE7" w:rsidRDefault="00773483" w:rsidP="00773483">
      <w:pPr>
        <w:rPr>
          <w:rFonts w:eastAsia="Calibri" w:cs="Times New Roman"/>
          <w:b/>
          <w:sz w:val="28"/>
          <w:szCs w:val="28"/>
        </w:rPr>
      </w:pPr>
    </w:p>
    <w:p w14:paraId="278512B7" w14:textId="77777777" w:rsidR="00773483" w:rsidRPr="008C0EE7" w:rsidRDefault="00773483" w:rsidP="00773483">
      <w:pPr>
        <w:rPr>
          <w:rFonts w:eastAsia="Calibri" w:cs="Times New Roman"/>
          <w:b/>
          <w:sz w:val="28"/>
          <w:szCs w:val="28"/>
        </w:rPr>
      </w:pPr>
    </w:p>
    <w:p w14:paraId="372BCCB9" w14:textId="77777777" w:rsidR="00773483" w:rsidRPr="008C0EE7" w:rsidRDefault="001E2995" w:rsidP="00773483">
      <w:pPr>
        <w:rPr>
          <w:rFonts w:eastAsia="Calibri" w:cs="Times New Roman"/>
          <w:sz w:val="28"/>
          <w:szCs w:val="28"/>
          <w:u w:val="single"/>
        </w:rPr>
      </w:pP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  <w:u w:val="single"/>
        </w:rPr>
        <w:tab/>
      </w:r>
      <w:r w:rsidRPr="008C0EE7">
        <w:rPr>
          <w:rFonts w:eastAsia="Calibri" w:cs="Times New Roman"/>
          <w:sz w:val="28"/>
          <w:szCs w:val="28"/>
          <w:u w:val="single"/>
        </w:rPr>
        <w:tab/>
      </w:r>
      <w:r w:rsidRPr="008C0EE7">
        <w:rPr>
          <w:rFonts w:eastAsia="Calibri" w:cs="Times New Roman"/>
          <w:sz w:val="28"/>
          <w:szCs w:val="28"/>
          <w:u w:val="single"/>
        </w:rPr>
        <w:tab/>
      </w:r>
      <w:r w:rsidRPr="008C0EE7">
        <w:rPr>
          <w:rFonts w:eastAsia="Calibri" w:cs="Times New Roman"/>
          <w:sz w:val="28"/>
          <w:szCs w:val="28"/>
          <w:u w:val="single"/>
        </w:rPr>
        <w:tab/>
      </w:r>
      <w:r w:rsidRPr="008C0EE7">
        <w:rPr>
          <w:rFonts w:eastAsia="Calibri" w:cs="Times New Roman"/>
          <w:sz w:val="28"/>
          <w:szCs w:val="28"/>
          <w:u w:val="single"/>
        </w:rPr>
        <w:tab/>
      </w:r>
      <w:r w:rsidRPr="008C0EE7">
        <w:rPr>
          <w:rFonts w:eastAsia="Calibri" w:cs="Times New Roman"/>
          <w:sz w:val="28"/>
          <w:szCs w:val="28"/>
          <w:u w:val="single"/>
        </w:rPr>
        <w:tab/>
      </w:r>
    </w:p>
    <w:p w14:paraId="2659B1AC" w14:textId="77777777" w:rsidR="00773483" w:rsidRPr="008C0EE7" w:rsidRDefault="001E2995" w:rsidP="00773483">
      <w:pPr>
        <w:rPr>
          <w:rFonts w:eastAsia="Calibri" w:cs="Times New Roman"/>
          <w:sz w:val="28"/>
          <w:szCs w:val="28"/>
        </w:rPr>
      </w:pP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  <w:t>Peter T. Gregg</w:t>
      </w:r>
    </w:p>
    <w:p w14:paraId="5A01CC81" w14:textId="77777777" w:rsidR="00773483" w:rsidRPr="008C0EE7" w:rsidRDefault="001E2995" w:rsidP="00773483">
      <w:pPr>
        <w:rPr>
          <w:rFonts w:eastAsia="Calibri" w:cs="Times New Roman"/>
          <w:sz w:val="28"/>
          <w:szCs w:val="28"/>
        </w:rPr>
      </w:pP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  <w:t>State Bar No. 00784174</w:t>
      </w:r>
    </w:p>
    <w:p w14:paraId="2712F8FE" w14:textId="37C88E86" w:rsidR="00773483" w:rsidRPr="008C0EE7" w:rsidRDefault="001E2995" w:rsidP="0037538D">
      <w:pPr>
        <w:rPr>
          <w:rFonts w:eastAsia="Calibri" w:cs="Times New Roman"/>
          <w:sz w:val="28"/>
          <w:szCs w:val="28"/>
        </w:rPr>
      </w:pP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="0037538D" w:rsidRPr="008C0EE7">
        <w:rPr>
          <w:rFonts w:eastAsia="Calibri" w:cs="Times New Roman"/>
          <w:sz w:val="28"/>
          <w:szCs w:val="28"/>
        </w:rPr>
        <w:t>910 West Ave., No. 3</w:t>
      </w:r>
    </w:p>
    <w:p w14:paraId="24107071" w14:textId="604CFC8B" w:rsidR="0037538D" w:rsidRPr="008C0EE7" w:rsidRDefault="0037538D" w:rsidP="0037538D">
      <w:pPr>
        <w:rPr>
          <w:rFonts w:eastAsia="Calibri" w:cs="Times New Roman"/>
          <w:sz w:val="28"/>
          <w:szCs w:val="28"/>
        </w:rPr>
      </w:pP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  <w:t>Austin, Texas 78701</w:t>
      </w:r>
    </w:p>
    <w:p w14:paraId="04814E32" w14:textId="17DE5373" w:rsidR="0037538D" w:rsidRPr="008C0EE7" w:rsidRDefault="0037538D" w:rsidP="0037538D">
      <w:pPr>
        <w:rPr>
          <w:rFonts w:eastAsia="Calibri" w:cs="Times New Roman"/>
          <w:sz w:val="28"/>
          <w:szCs w:val="28"/>
        </w:rPr>
      </w:pP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  <w:t>Phone: 512-522-0702</w:t>
      </w:r>
    </w:p>
    <w:p w14:paraId="473433B3" w14:textId="61FE01BF" w:rsidR="0037538D" w:rsidRPr="008C0EE7" w:rsidRDefault="0037538D" w:rsidP="0037538D">
      <w:pPr>
        <w:rPr>
          <w:rFonts w:eastAsia="Calibri" w:cs="Times New Roman"/>
          <w:sz w:val="28"/>
          <w:szCs w:val="28"/>
        </w:rPr>
      </w:pP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</w:r>
      <w:r w:rsidRPr="008C0EE7">
        <w:rPr>
          <w:rFonts w:eastAsia="Calibri" w:cs="Times New Roman"/>
          <w:sz w:val="28"/>
          <w:szCs w:val="28"/>
        </w:rPr>
        <w:tab/>
        <w:t>Fax: 512-727-6070</w:t>
      </w:r>
    </w:p>
    <w:p w14:paraId="1DE6E5A4" w14:textId="77777777" w:rsidR="00773483" w:rsidRPr="008C0EE7" w:rsidRDefault="00773483" w:rsidP="00773483">
      <w:pPr>
        <w:rPr>
          <w:rFonts w:eastAsia="Calibri" w:cs="Times New Roman"/>
          <w:sz w:val="28"/>
          <w:szCs w:val="28"/>
        </w:rPr>
      </w:pPr>
    </w:p>
    <w:p w14:paraId="3E04955A" w14:textId="77777777" w:rsidR="00773483" w:rsidRPr="00773483" w:rsidRDefault="001E2995" w:rsidP="00773483">
      <w:pPr>
        <w:rPr>
          <w:rFonts w:eastAsia="Calibri" w:cs="Times New Roman"/>
          <w:b/>
          <w:szCs w:val="24"/>
        </w:rPr>
      </w:pPr>
      <w:r w:rsidRPr="00773483">
        <w:rPr>
          <w:rFonts w:eastAsia="Calibri" w:cs="Times New Roman"/>
          <w:szCs w:val="24"/>
        </w:rPr>
        <w:tab/>
      </w:r>
      <w:r w:rsidRPr="00773483">
        <w:rPr>
          <w:rFonts w:eastAsia="Calibri" w:cs="Times New Roman"/>
          <w:szCs w:val="24"/>
        </w:rPr>
        <w:tab/>
      </w:r>
      <w:r w:rsidRPr="00773483">
        <w:rPr>
          <w:rFonts w:eastAsia="Calibri" w:cs="Times New Roman"/>
          <w:szCs w:val="24"/>
        </w:rPr>
        <w:tab/>
      </w:r>
      <w:r w:rsidRPr="00773483">
        <w:rPr>
          <w:rFonts w:eastAsia="Calibri" w:cs="Times New Roman"/>
          <w:szCs w:val="24"/>
        </w:rPr>
        <w:tab/>
      </w:r>
      <w:r w:rsidRPr="00773483">
        <w:rPr>
          <w:rFonts w:eastAsia="Calibri" w:cs="Times New Roman"/>
          <w:szCs w:val="24"/>
        </w:rPr>
        <w:tab/>
      </w:r>
      <w:r w:rsidRPr="00773483">
        <w:rPr>
          <w:rFonts w:eastAsia="Calibri" w:cs="Times New Roman"/>
          <w:szCs w:val="24"/>
        </w:rPr>
        <w:tab/>
      </w:r>
      <w:r w:rsidRPr="00773483">
        <w:rPr>
          <w:rFonts w:eastAsia="Calibri" w:cs="Times New Roman"/>
          <w:b/>
          <w:szCs w:val="24"/>
        </w:rPr>
        <w:t xml:space="preserve">Attorneys for </w:t>
      </w:r>
      <w:r>
        <w:rPr>
          <w:rFonts w:eastAsia="Calibri" w:cs="Times New Roman"/>
          <w:b/>
          <w:szCs w:val="24"/>
        </w:rPr>
        <w:t>CC Water Work</w:t>
      </w:r>
      <w:r w:rsidR="00E15598">
        <w:rPr>
          <w:rFonts w:eastAsia="Calibri" w:cs="Times New Roman"/>
          <w:b/>
          <w:szCs w:val="24"/>
        </w:rPr>
        <w:t>s</w:t>
      </w:r>
      <w:r w:rsidRPr="00773483">
        <w:rPr>
          <w:rFonts w:eastAsia="Calibri" w:cs="Times New Roman"/>
          <w:b/>
          <w:szCs w:val="24"/>
        </w:rPr>
        <w:t>, Inc.</w:t>
      </w:r>
    </w:p>
    <w:p w14:paraId="50E27031" w14:textId="77777777" w:rsidR="00773483" w:rsidRPr="00773483" w:rsidRDefault="00773483" w:rsidP="00773483">
      <w:pPr>
        <w:rPr>
          <w:rFonts w:eastAsia="Calibri" w:cs="Times New Roman"/>
          <w:b/>
          <w:szCs w:val="24"/>
        </w:rPr>
      </w:pPr>
    </w:p>
    <w:p w14:paraId="2F270328" w14:textId="77777777" w:rsidR="00A37336" w:rsidRDefault="00A37336">
      <w:pPr>
        <w:jc w:val="left"/>
        <w:rPr>
          <w:rFonts w:eastAsia="Calibri" w:cs="Times New Roman"/>
          <w:b/>
          <w:szCs w:val="24"/>
          <w:u w:val="single"/>
        </w:rPr>
      </w:pPr>
    </w:p>
    <w:p w14:paraId="06B0E569" w14:textId="77777777" w:rsidR="00773483" w:rsidRPr="00773483" w:rsidRDefault="001E2995" w:rsidP="00773483">
      <w:pPr>
        <w:jc w:val="center"/>
        <w:rPr>
          <w:rFonts w:eastAsia="Calibri" w:cs="Times New Roman"/>
          <w:b/>
          <w:szCs w:val="24"/>
          <w:u w:val="single"/>
        </w:rPr>
      </w:pPr>
      <w:r w:rsidRPr="00773483">
        <w:rPr>
          <w:rFonts w:eastAsia="Calibri" w:cs="Times New Roman"/>
          <w:b/>
          <w:szCs w:val="24"/>
          <w:u w:val="single"/>
        </w:rPr>
        <w:t>CERTIFICATE OF SERVICE</w:t>
      </w:r>
    </w:p>
    <w:p w14:paraId="4B5D9262" w14:textId="77777777" w:rsidR="00773483" w:rsidRPr="00773483" w:rsidRDefault="00773483" w:rsidP="00773483">
      <w:pPr>
        <w:jc w:val="center"/>
        <w:rPr>
          <w:rFonts w:eastAsia="Calibri" w:cs="Times New Roman"/>
          <w:b/>
          <w:szCs w:val="24"/>
          <w:u w:val="single"/>
        </w:rPr>
      </w:pPr>
    </w:p>
    <w:p w14:paraId="5FC59E01" w14:textId="00EE154B" w:rsidR="00773483" w:rsidRPr="00773483" w:rsidRDefault="001E2995" w:rsidP="00773483">
      <w:pPr>
        <w:ind w:firstLine="720"/>
        <w:rPr>
          <w:rFonts w:eastAsia="Calibri" w:cs="Times New Roman"/>
          <w:szCs w:val="24"/>
        </w:rPr>
      </w:pPr>
      <w:r w:rsidRPr="00773483">
        <w:rPr>
          <w:rFonts w:eastAsia="Calibri" w:cs="Times New Roman"/>
          <w:szCs w:val="24"/>
        </w:rPr>
        <w:t xml:space="preserve">By my signature above, I certify that on the </w:t>
      </w:r>
      <w:r w:rsidR="003A03C7">
        <w:rPr>
          <w:rFonts w:eastAsia="Calibri" w:cs="Times New Roman"/>
          <w:szCs w:val="24"/>
        </w:rPr>
        <w:t>5</w:t>
      </w:r>
      <w:r w:rsidR="0037538D">
        <w:rPr>
          <w:rFonts w:eastAsia="Calibri" w:cs="Times New Roman"/>
          <w:szCs w:val="24"/>
        </w:rPr>
        <w:t>th</w:t>
      </w:r>
      <w:r w:rsidR="00E851B3">
        <w:rPr>
          <w:rFonts w:eastAsia="Calibri" w:cs="Times New Roman"/>
          <w:szCs w:val="24"/>
        </w:rPr>
        <w:t xml:space="preserve"> </w:t>
      </w:r>
      <w:r w:rsidRPr="00773483">
        <w:rPr>
          <w:rFonts w:eastAsia="Calibri" w:cs="Times New Roman"/>
          <w:szCs w:val="24"/>
        </w:rPr>
        <w:t xml:space="preserve">day of </w:t>
      </w:r>
      <w:r w:rsidR="00EA4B07">
        <w:rPr>
          <w:rFonts w:eastAsia="Calibri" w:cs="Times New Roman"/>
          <w:szCs w:val="24"/>
        </w:rPr>
        <w:t>January</w:t>
      </w:r>
      <w:r w:rsidR="0037538D">
        <w:rPr>
          <w:rFonts w:eastAsia="Calibri" w:cs="Times New Roman"/>
          <w:szCs w:val="24"/>
        </w:rPr>
        <w:t xml:space="preserve"> 2022</w:t>
      </w:r>
      <w:r w:rsidRPr="00773483">
        <w:rPr>
          <w:rFonts w:eastAsia="Calibri" w:cs="Times New Roman"/>
          <w:szCs w:val="24"/>
        </w:rPr>
        <w:t xml:space="preserve"> the foregoing document was serviced via first class mail and/or email to the following:</w:t>
      </w:r>
    </w:p>
    <w:p w14:paraId="3B4B757D" w14:textId="77777777" w:rsidR="00773483" w:rsidRPr="00773483" w:rsidRDefault="00773483" w:rsidP="00773483">
      <w:pPr>
        <w:ind w:firstLine="720"/>
        <w:rPr>
          <w:rFonts w:eastAsia="Calibri" w:cs="Times New Roman"/>
          <w:szCs w:val="24"/>
        </w:rPr>
      </w:pPr>
    </w:p>
    <w:p w14:paraId="58E7102E" w14:textId="77777777" w:rsidR="00773483" w:rsidRDefault="001E2995" w:rsidP="00773483">
      <w:pPr>
        <w:ind w:firstLine="720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Danielle Lam</w:t>
      </w:r>
    </w:p>
    <w:p w14:paraId="33649166" w14:textId="77777777" w:rsidR="00773483" w:rsidRDefault="001E2995" w:rsidP="00773483">
      <w:pPr>
        <w:ind w:firstLine="720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Lloyd </w:t>
      </w:r>
      <w:proofErr w:type="spellStart"/>
      <w:r>
        <w:rPr>
          <w:rFonts w:eastAsia="Calibri" w:cs="Times New Roman"/>
          <w:szCs w:val="24"/>
        </w:rPr>
        <w:t>Gosselink</w:t>
      </w:r>
      <w:proofErr w:type="spellEnd"/>
      <w:r>
        <w:rPr>
          <w:rFonts w:eastAsia="Calibri" w:cs="Times New Roman"/>
          <w:szCs w:val="24"/>
        </w:rPr>
        <w:t>, Rochelle &amp; Townsend, P.C.</w:t>
      </w:r>
    </w:p>
    <w:p w14:paraId="342AC3FB" w14:textId="77777777" w:rsidR="00773483" w:rsidRDefault="001E2995" w:rsidP="00773483">
      <w:pPr>
        <w:ind w:firstLine="720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816 Congress Ave., Suite 1900</w:t>
      </w:r>
    </w:p>
    <w:p w14:paraId="67AD4A6D" w14:textId="77777777" w:rsidR="00773483" w:rsidRDefault="001E2995" w:rsidP="00773483">
      <w:pPr>
        <w:ind w:firstLine="720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Austin, </w:t>
      </w:r>
      <w:proofErr w:type="gramStart"/>
      <w:r>
        <w:rPr>
          <w:rFonts w:eastAsia="Calibri" w:cs="Times New Roman"/>
          <w:szCs w:val="24"/>
        </w:rPr>
        <w:t>Texas  78701</w:t>
      </w:r>
      <w:proofErr w:type="gramEnd"/>
    </w:p>
    <w:p w14:paraId="7E0D140E" w14:textId="77777777" w:rsidR="00773483" w:rsidRDefault="00E851B3" w:rsidP="00773483">
      <w:pPr>
        <w:ind w:firstLine="720"/>
        <w:rPr>
          <w:rFonts w:eastAsia="Calibri" w:cs="Times New Roman"/>
          <w:szCs w:val="24"/>
        </w:rPr>
      </w:pPr>
      <w:r w:rsidRPr="000622B8">
        <w:rPr>
          <w:rFonts w:eastAsia="Calibri" w:cs="Times New Roman"/>
          <w:szCs w:val="24"/>
        </w:rPr>
        <w:t>dlam@lglawfirm.com</w:t>
      </w:r>
      <w:r>
        <w:rPr>
          <w:rFonts w:eastAsia="Calibri" w:cs="Times New Roman"/>
          <w:szCs w:val="24"/>
        </w:rPr>
        <w:t xml:space="preserve"> </w:t>
      </w:r>
    </w:p>
    <w:p w14:paraId="56C762D5" w14:textId="77777777" w:rsidR="00773483" w:rsidRPr="00773483" w:rsidRDefault="00773483" w:rsidP="00773483">
      <w:pPr>
        <w:ind w:firstLine="720"/>
        <w:rPr>
          <w:rFonts w:eastAsia="Calibri" w:cs="Times New Roman"/>
          <w:szCs w:val="24"/>
        </w:rPr>
      </w:pPr>
    </w:p>
    <w:p w14:paraId="3A27680F" w14:textId="77777777" w:rsidR="00773483" w:rsidRPr="00773483" w:rsidRDefault="001E2995" w:rsidP="00773483">
      <w:pPr>
        <w:ind w:firstLine="720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Arnett D. </w:t>
      </w:r>
      <w:proofErr w:type="spellStart"/>
      <w:r>
        <w:rPr>
          <w:rFonts w:eastAsia="Calibri" w:cs="Times New Roman"/>
          <w:szCs w:val="24"/>
        </w:rPr>
        <w:t>Caviel</w:t>
      </w:r>
      <w:proofErr w:type="spellEnd"/>
    </w:p>
    <w:p w14:paraId="14CFE9C2" w14:textId="77777777" w:rsidR="00773483" w:rsidRPr="00773483" w:rsidRDefault="001E2995" w:rsidP="00773483">
      <w:pPr>
        <w:ind w:firstLine="720"/>
        <w:rPr>
          <w:rFonts w:eastAsia="Calibri" w:cs="Times New Roman"/>
          <w:szCs w:val="24"/>
        </w:rPr>
      </w:pPr>
      <w:r w:rsidRPr="00773483">
        <w:rPr>
          <w:rFonts w:eastAsia="Calibri" w:cs="Times New Roman"/>
          <w:szCs w:val="24"/>
        </w:rPr>
        <w:t>Public Utility Commission of Texas</w:t>
      </w:r>
    </w:p>
    <w:p w14:paraId="074776F2" w14:textId="77777777" w:rsidR="00773483" w:rsidRPr="00773483" w:rsidRDefault="001E2995" w:rsidP="00773483">
      <w:pPr>
        <w:ind w:firstLine="720"/>
        <w:rPr>
          <w:rFonts w:eastAsia="Calibri" w:cs="Times New Roman"/>
          <w:szCs w:val="24"/>
        </w:rPr>
      </w:pPr>
      <w:r w:rsidRPr="00773483">
        <w:rPr>
          <w:rFonts w:eastAsia="Calibri" w:cs="Times New Roman"/>
          <w:szCs w:val="24"/>
        </w:rPr>
        <w:t>Legal Division</w:t>
      </w:r>
    </w:p>
    <w:p w14:paraId="5BAACF9E" w14:textId="77777777" w:rsidR="00773483" w:rsidRPr="00773483" w:rsidRDefault="001E2995" w:rsidP="00773483">
      <w:pPr>
        <w:ind w:firstLine="720"/>
        <w:rPr>
          <w:rFonts w:eastAsia="Calibri" w:cs="Times New Roman"/>
          <w:szCs w:val="24"/>
        </w:rPr>
      </w:pPr>
      <w:r w:rsidRPr="00773483">
        <w:rPr>
          <w:rFonts w:eastAsia="Calibri" w:cs="Times New Roman"/>
          <w:szCs w:val="24"/>
        </w:rPr>
        <w:t>1701 N. Congress Avenue</w:t>
      </w:r>
    </w:p>
    <w:p w14:paraId="42EBD8F5" w14:textId="77777777" w:rsidR="00773483" w:rsidRPr="00773483" w:rsidRDefault="001E2995" w:rsidP="00773483">
      <w:pPr>
        <w:ind w:firstLine="720"/>
        <w:rPr>
          <w:rFonts w:eastAsia="Calibri" w:cs="Times New Roman"/>
          <w:szCs w:val="24"/>
        </w:rPr>
      </w:pPr>
      <w:r w:rsidRPr="00773483">
        <w:rPr>
          <w:rFonts w:eastAsia="Calibri" w:cs="Times New Roman"/>
          <w:szCs w:val="24"/>
        </w:rPr>
        <w:t>P.O. Box 13326</w:t>
      </w:r>
    </w:p>
    <w:p w14:paraId="6CEF12CE" w14:textId="77777777" w:rsidR="00773483" w:rsidRPr="00773483" w:rsidRDefault="001E2995" w:rsidP="00773483">
      <w:pPr>
        <w:ind w:firstLine="720"/>
        <w:rPr>
          <w:rFonts w:eastAsia="Calibri" w:cs="Times New Roman"/>
          <w:szCs w:val="24"/>
        </w:rPr>
      </w:pPr>
      <w:r w:rsidRPr="00773483">
        <w:rPr>
          <w:rFonts w:eastAsia="Calibri" w:cs="Times New Roman"/>
          <w:szCs w:val="24"/>
        </w:rPr>
        <w:t xml:space="preserve">Austin, </w:t>
      </w:r>
      <w:proofErr w:type="gramStart"/>
      <w:r w:rsidRPr="00773483">
        <w:rPr>
          <w:rFonts w:eastAsia="Calibri" w:cs="Times New Roman"/>
          <w:szCs w:val="24"/>
        </w:rPr>
        <w:t>Texas  78711</w:t>
      </w:r>
      <w:proofErr w:type="gramEnd"/>
      <w:r w:rsidRPr="00773483">
        <w:rPr>
          <w:rFonts w:eastAsia="Calibri" w:cs="Times New Roman"/>
          <w:szCs w:val="24"/>
        </w:rPr>
        <w:t>-3326</w:t>
      </w:r>
    </w:p>
    <w:p w14:paraId="2AB166F1" w14:textId="77777777" w:rsidR="00E15598" w:rsidRPr="00A37336" w:rsidRDefault="00773483" w:rsidP="00A37336">
      <w:pPr>
        <w:ind w:firstLine="720"/>
        <w:rPr>
          <w:rFonts w:eastAsia="Calibri" w:cs="Times New Roman"/>
          <w:szCs w:val="24"/>
        </w:rPr>
      </w:pPr>
      <w:r w:rsidRPr="00F40757">
        <w:rPr>
          <w:rFonts w:eastAsia="Calibri" w:cs="Times New Roman"/>
          <w:szCs w:val="24"/>
        </w:rPr>
        <w:t>arnett.caviel</w:t>
      </w:r>
      <w:r w:rsidRPr="00773483">
        <w:rPr>
          <w:rFonts w:eastAsia="Calibri" w:cs="Times New Roman"/>
          <w:szCs w:val="24"/>
        </w:rPr>
        <w:t xml:space="preserve">@puc.texas.gov </w:t>
      </w:r>
    </w:p>
    <w:sectPr w:rsidR="00E15598" w:rsidRPr="00A37336" w:rsidSect="00F24C34">
      <w:footerReference w:type="even" r:id="rId9"/>
      <w:footerReference w:type="default" r:id="rId10"/>
      <w:footerReference w:type="first" r:id="rId11"/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37656" w14:textId="77777777" w:rsidR="00DC7771" w:rsidRDefault="00DC7771">
      <w:r>
        <w:separator/>
      </w:r>
    </w:p>
  </w:endnote>
  <w:endnote w:type="continuationSeparator" w:id="0">
    <w:p w14:paraId="00BC70D9" w14:textId="77777777" w:rsidR="00DC7771" w:rsidRDefault="00DC7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F5F83" w14:textId="77777777" w:rsidR="00162F89" w:rsidRDefault="00613D68" w:rsidP="00613D68">
    <w:pPr>
      <w:pStyle w:val="Footer"/>
      <w:jc w:val="left"/>
    </w:pPr>
    <w:r w:rsidRPr="00613D68">
      <w:rPr>
        <w:rStyle w:val="EasyID"/>
        <w:rFonts w:eastAsiaTheme="minorHAnsi"/>
      </w:rPr>
      <w:t>3510881.1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38875" w14:textId="77777777" w:rsidR="00162F89" w:rsidRDefault="00613D68" w:rsidP="00613D68">
    <w:pPr>
      <w:pStyle w:val="Footer"/>
      <w:jc w:val="left"/>
    </w:pPr>
    <w:r w:rsidRPr="00613D68">
      <w:rPr>
        <w:rStyle w:val="EasyID"/>
        <w:rFonts w:eastAsiaTheme="minorHAnsi"/>
      </w:rPr>
      <w:t>3510881.1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6EB75" w14:textId="77777777" w:rsidR="00162F89" w:rsidRDefault="00613D68" w:rsidP="00613D68">
    <w:pPr>
      <w:pStyle w:val="Footer"/>
      <w:jc w:val="left"/>
    </w:pPr>
    <w:r w:rsidRPr="00613D68">
      <w:rPr>
        <w:rStyle w:val="EasyID"/>
        <w:rFonts w:eastAsiaTheme="minorHAnsi"/>
      </w:rPr>
      <w:t>3510881.1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0AC99" w14:textId="77777777" w:rsidR="00DC7771" w:rsidRDefault="00DC7771">
      <w:r>
        <w:separator/>
      </w:r>
    </w:p>
  </w:footnote>
  <w:footnote w:type="continuationSeparator" w:id="0">
    <w:p w14:paraId="2120CF00" w14:textId="77777777" w:rsidR="00DC7771" w:rsidRDefault="00DC7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286509"/>
    <w:multiLevelType w:val="multilevel"/>
    <w:tmpl w:val="519C3D5A"/>
    <w:lvl w:ilvl="0">
      <w:start w:val="1"/>
      <w:numFmt w:val="decimal"/>
      <w:isLgl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 w:val="0"/>
        <w:i w:val="0"/>
        <w:caps w:val="0"/>
        <w:small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isLgl/>
        <w:lvlText w:val="%1."/>
        <w:lvlJc w:val="left"/>
        <w:pPr>
          <w:ind w:left="360" w:hanging="360"/>
        </w:pPr>
        <w:rPr>
          <w:rFonts w:ascii="Times New Roman" w:hAnsi="Times New Roman" w:hint="default"/>
          <w:b w:val="0"/>
          <w:bCs w:val="0"/>
          <w:i w:val="0"/>
          <w:caps w:val="0"/>
          <w:smallCaps w:val="0"/>
          <w:strike w:val="0"/>
          <w:dstrike w:val="0"/>
          <w:vanish w:val="0"/>
          <w:sz w:val="24"/>
          <w:vertAlign w:val="baseline"/>
        </w:rPr>
      </w:lvl>
    </w:lvlOverride>
    <w:lvlOverride w:ilvl="1">
      <w:lvl w:ilvl="1">
        <w:start w:val="1"/>
        <w:numFmt w:val="decimal"/>
        <w:pStyle w:val="ListParagraph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483"/>
    <w:rsid w:val="000622B8"/>
    <w:rsid w:val="0006460D"/>
    <w:rsid w:val="000707DC"/>
    <w:rsid w:val="000A7D80"/>
    <w:rsid w:val="000D0D74"/>
    <w:rsid w:val="000E7858"/>
    <w:rsid w:val="000F7848"/>
    <w:rsid w:val="00146126"/>
    <w:rsid w:val="00162F89"/>
    <w:rsid w:val="001E2995"/>
    <w:rsid w:val="002A5E05"/>
    <w:rsid w:val="002E7D69"/>
    <w:rsid w:val="002F213D"/>
    <w:rsid w:val="00302292"/>
    <w:rsid w:val="00305D39"/>
    <w:rsid w:val="003378E1"/>
    <w:rsid w:val="00356DEF"/>
    <w:rsid w:val="00367320"/>
    <w:rsid w:val="0037538D"/>
    <w:rsid w:val="00391722"/>
    <w:rsid w:val="003A03C7"/>
    <w:rsid w:val="004B2F0E"/>
    <w:rsid w:val="004B47B7"/>
    <w:rsid w:val="004E77B4"/>
    <w:rsid w:val="005216C6"/>
    <w:rsid w:val="00577F47"/>
    <w:rsid w:val="005C1A46"/>
    <w:rsid w:val="006055F4"/>
    <w:rsid w:val="00613D68"/>
    <w:rsid w:val="00622FE6"/>
    <w:rsid w:val="00650F91"/>
    <w:rsid w:val="0067129F"/>
    <w:rsid w:val="007428D2"/>
    <w:rsid w:val="00763FBB"/>
    <w:rsid w:val="00773483"/>
    <w:rsid w:val="007871AC"/>
    <w:rsid w:val="007959B6"/>
    <w:rsid w:val="007F7685"/>
    <w:rsid w:val="00825D57"/>
    <w:rsid w:val="00837C0B"/>
    <w:rsid w:val="00895835"/>
    <w:rsid w:val="008C0EE7"/>
    <w:rsid w:val="008C4D8E"/>
    <w:rsid w:val="00905EC2"/>
    <w:rsid w:val="00950A53"/>
    <w:rsid w:val="009D1DE3"/>
    <w:rsid w:val="009E4105"/>
    <w:rsid w:val="009F4064"/>
    <w:rsid w:val="00A000FB"/>
    <w:rsid w:val="00A2329E"/>
    <w:rsid w:val="00A37336"/>
    <w:rsid w:val="00A62C7B"/>
    <w:rsid w:val="00A63CCF"/>
    <w:rsid w:val="00A83843"/>
    <w:rsid w:val="00AA7133"/>
    <w:rsid w:val="00AD48B0"/>
    <w:rsid w:val="00AF58BE"/>
    <w:rsid w:val="00B07E3E"/>
    <w:rsid w:val="00B23F0A"/>
    <w:rsid w:val="00BA36B9"/>
    <w:rsid w:val="00BF54F5"/>
    <w:rsid w:val="00BF7C36"/>
    <w:rsid w:val="00C03774"/>
    <w:rsid w:val="00C41546"/>
    <w:rsid w:val="00CC3EA5"/>
    <w:rsid w:val="00CC4EBE"/>
    <w:rsid w:val="00CC7F4C"/>
    <w:rsid w:val="00CF1676"/>
    <w:rsid w:val="00D72BDD"/>
    <w:rsid w:val="00DA2A44"/>
    <w:rsid w:val="00DA7F7C"/>
    <w:rsid w:val="00DC7771"/>
    <w:rsid w:val="00DD3F71"/>
    <w:rsid w:val="00DF7443"/>
    <w:rsid w:val="00E15598"/>
    <w:rsid w:val="00E67D73"/>
    <w:rsid w:val="00E851B3"/>
    <w:rsid w:val="00EA4B07"/>
    <w:rsid w:val="00EA7F7F"/>
    <w:rsid w:val="00ED614C"/>
    <w:rsid w:val="00F24C34"/>
    <w:rsid w:val="00F2741B"/>
    <w:rsid w:val="00F40757"/>
    <w:rsid w:val="00F60F60"/>
    <w:rsid w:val="00FD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23A7DA"/>
  <w15:chartTrackingRefBased/>
  <w15:docId w15:val="{787E7B90-77FA-4C7D-91F4-03D53B913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483"/>
    <w:pPr>
      <w:jc w:val="both"/>
    </w:pPr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5216C6"/>
    <w:pPr>
      <w:jc w:val="left"/>
    </w:pPr>
    <w:rPr>
      <w:rFonts w:eastAsiaTheme="majorEastAsia" w:cstheme="majorBidi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67129F"/>
    <w:pPr>
      <w:framePr w:w="7920" w:h="1980" w:hRule="exact" w:hSpace="180" w:wrap="auto" w:hAnchor="page" w:xAlign="center" w:yAlign="bottom"/>
      <w:ind w:left="2880"/>
      <w:jc w:val="left"/>
    </w:pPr>
    <w:rPr>
      <w:rFonts w:eastAsiaTheme="majorEastAsia" w:cstheme="majorBidi"/>
      <w:szCs w:val="24"/>
    </w:rPr>
  </w:style>
  <w:style w:type="paragraph" w:styleId="ListParagraph">
    <w:name w:val="List Paragraph"/>
    <w:basedOn w:val="Normal"/>
    <w:uiPriority w:val="34"/>
    <w:qFormat/>
    <w:rsid w:val="002F213D"/>
    <w:pPr>
      <w:numPr>
        <w:ilvl w:val="1"/>
        <w:numId w:val="1"/>
      </w:numPr>
      <w:tabs>
        <w:tab w:val="left" w:pos="1440"/>
      </w:tabs>
      <w:spacing w:after="240"/>
      <w:contextualSpacing/>
      <w:jc w:val="left"/>
      <w:textAlignment w:val="baseline"/>
    </w:pPr>
    <w:rPr>
      <w:rFonts w:eastAsia="Times New Roman" w:cs="Times New Roman"/>
      <w:color w:val="000000"/>
    </w:rPr>
  </w:style>
  <w:style w:type="table" w:styleId="TableGrid">
    <w:name w:val="Table Grid"/>
    <w:basedOn w:val="TableNormal"/>
    <w:uiPriority w:val="59"/>
    <w:rsid w:val="00773483"/>
    <w:pPr>
      <w:jc w:val="both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7348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7348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62F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2F89"/>
    <w:rPr>
      <w:rFonts w:cstheme="minorBidi"/>
    </w:rPr>
  </w:style>
  <w:style w:type="paragraph" w:styleId="Footer">
    <w:name w:val="footer"/>
    <w:basedOn w:val="Normal"/>
    <w:link w:val="FooterChar"/>
    <w:uiPriority w:val="99"/>
    <w:unhideWhenUsed/>
    <w:rsid w:val="00162F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2F89"/>
    <w:rPr>
      <w:rFonts w:cstheme="minorBidi"/>
    </w:rPr>
  </w:style>
  <w:style w:type="character" w:customStyle="1" w:styleId="EasyID">
    <w:name w:val="EasyID"/>
    <w:basedOn w:val="DefaultParagraphFont"/>
    <w:rsid w:val="00162F89"/>
    <w:rPr>
      <w:rFonts w:ascii="Arial" w:eastAsia="Times New Roman" w:hAnsi="Arial" w:cs="Arial"/>
      <w:sz w:val="16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 i M a n a g e ! 3 5 1 0 8 8 1 . 1 < / d o c u m e n t i d >  
     < s e n d e r i d > A G I T T I N G E R < / s e n d e r i d >  
     < s e n d e r e m a i l > A G I T T I N G E R @ D B C L L P . C O M < / s e n d e r e m a i l >  
     < l a s t m o d i f i e d > 2 0 2 1 - 1 2 - 1 5 T 1 0 : 3 7 : 0 0 . 0 0 0 0 0 0 0 - 0 6 : 0 0 < / l a s t m o d i f i e d >  
     < d a t a b a s e > i M a n a g e < / d a t a b a s e >  
 < / p r o p e r t i e s > 
</file>

<file path=customXml/itemProps1.xml><?xml version="1.0" encoding="utf-8"?>
<ds:datastoreItem xmlns:ds="http://schemas.openxmlformats.org/officeDocument/2006/customXml" ds:itemID="{43BACA59-895B-4B4A-9F26-F2D81C4AECA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Peter Gregg</cp:lastModifiedBy>
  <cp:revision>5</cp:revision>
  <dcterms:created xsi:type="dcterms:W3CDTF">2022-01-05T20:03:00Z</dcterms:created>
  <dcterms:modified xsi:type="dcterms:W3CDTF">2022-01-05T20:27:00Z</dcterms:modified>
</cp:coreProperties>
</file>